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142652" w:rsidP="00142652">
      <w:pPr>
        <w:pStyle w:val="Titre"/>
      </w:pPr>
      <w:r w:rsidRPr="00142652">
        <w:t>OSA</w:t>
      </w:r>
    </w:p>
    <w:p w:rsidR="00142652" w:rsidRPr="00142652" w:rsidRDefault="00142652" w:rsidP="00142652">
      <w:r w:rsidRPr="00142652">
        <w:t>L’origami au service des apprentissages</w:t>
      </w:r>
    </w:p>
    <w:p w:rsidR="00142652" w:rsidRPr="00142652" w:rsidRDefault="00142652" w:rsidP="00142652">
      <w:r w:rsidRPr="00142652">
        <w:t>Une mallette pédagogique, pour toutes les personnes rencontrant des difficultés d’apprentissage,</w:t>
      </w:r>
    </w:p>
    <w:p w:rsidR="00142652" w:rsidRPr="00142652" w:rsidRDefault="00142652" w:rsidP="00142652">
      <w:r w:rsidRPr="00142652">
        <w:t>et un outil adapté et facilement adaptable aux besoins des enseignants.</w:t>
      </w:r>
    </w:p>
    <w:p w:rsidR="00142652" w:rsidRPr="00142652" w:rsidRDefault="00142652" w:rsidP="00142652">
      <w:pPr>
        <w:pStyle w:val="Titre2"/>
      </w:pPr>
      <w:r w:rsidRPr="00142652">
        <w:t xml:space="preserve">OSA en bref c’est : </w:t>
      </w:r>
    </w:p>
    <w:p w:rsidR="00142652" w:rsidRPr="00142652" w:rsidRDefault="00142652" w:rsidP="00142652">
      <w:r w:rsidRPr="00142652">
        <w:t>• Une mallette pédagogique.</w:t>
      </w:r>
    </w:p>
    <w:p w:rsidR="00142652" w:rsidRPr="00142652" w:rsidRDefault="00142652" w:rsidP="00142652">
      <w:r w:rsidRPr="00142652">
        <w:t>• Un contexte propice à l’apprentissage des notions scolaires fondamentales.</w:t>
      </w:r>
    </w:p>
    <w:p w:rsidR="00142652" w:rsidRPr="00142652" w:rsidRDefault="00142652" w:rsidP="00142652">
      <w:r w:rsidRPr="00142652">
        <w:t xml:space="preserve">• Une activité manuelle développant l’autonomie, </w:t>
      </w:r>
    </w:p>
    <w:p w:rsidR="00142652" w:rsidRPr="00142652" w:rsidRDefault="00142652" w:rsidP="00142652">
      <w:r w:rsidRPr="00142652">
        <w:t>la confiance en soi et la concentration.</w:t>
      </w:r>
    </w:p>
    <w:p w:rsidR="00142652" w:rsidRPr="00142652" w:rsidRDefault="00142652" w:rsidP="00142652">
      <w:r w:rsidRPr="00142652">
        <w:t>• Un outil s’adaptant parfaitement aux pratiques des éducateurs.</w:t>
      </w:r>
    </w:p>
    <w:p w:rsidR="00142652" w:rsidRPr="00142652" w:rsidRDefault="00142652" w:rsidP="00142652">
      <w:pPr>
        <w:pStyle w:val="Titre2"/>
      </w:pPr>
      <w:r w:rsidRPr="00142652">
        <w:t xml:space="preserve">OSA est conçue pour : </w:t>
      </w:r>
    </w:p>
    <w:p w:rsidR="00142652" w:rsidRPr="00142652" w:rsidRDefault="00142652" w:rsidP="00142652">
      <w:r w:rsidRPr="00142652">
        <w:t xml:space="preserve">• les jeunes, collégiens, adultes. </w:t>
      </w:r>
    </w:p>
    <w:p w:rsidR="00142652" w:rsidRPr="00142652" w:rsidRDefault="00142652" w:rsidP="00142652">
      <w:r w:rsidRPr="00142652">
        <w:t>• les personnes ayant des troubles de la concentration, mémorisation, langage, compréhension des consignes, …</w:t>
      </w:r>
    </w:p>
    <w:p w:rsidR="00142652" w:rsidRPr="00142652" w:rsidRDefault="00142652" w:rsidP="00142652">
      <w:r w:rsidRPr="00142652">
        <w:t>• les enseignants, animateurs, éducateurs, ergothérapeutes…</w:t>
      </w:r>
    </w:p>
    <w:p w:rsidR="00142652" w:rsidRPr="00142652" w:rsidRDefault="00142652" w:rsidP="00142652">
      <w:pPr>
        <w:pStyle w:val="Titre2"/>
      </w:pPr>
      <w:r w:rsidRPr="00142652">
        <w:t>Le principe de base :</w:t>
      </w:r>
    </w:p>
    <w:p w:rsidR="00142652" w:rsidRDefault="000D1D7B" w:rsidP="00142652">
      <w:r>
        <w:t>1 - ‘</w:t>
      </w:r>
      <w:r w:rsidR="00142652" w:rsidRPr="00142652">
        <w:t>manipuler</w:t>
      </w:r>
      <w:r>
        <w:t>’ chaque étape de pliage d’un origami</w:t>
      </w:r>
    </w:p>
    <w:p w:rsidR="000D1D7B" w:rsidRDefault="000D1D7B" w:rsidP="00142652">
      <w:r>
        <w:t xml:space="preserve">Chaque manuel ou affiche correspond à un origami (couronne, poisson, bateau). </w:t>
      </w:r>
    </w:p>
    <w:p w:rsidR="000D1D7B" w:rsidRDefault="000D1D7B" w:rsidP="00142652">
      <w:r>
        <w:lastRenderedPageBreak/>
        <w:t xml:space="preserve">Les manuels sont dénués de toutes informations textuelles et didactiques. </w:t>
      </w:r>
    </w:p>
    <w:p w:rsidR="000D1D7B" w:rsidRDefault="000D1D7B" w:rsidP="00142652">
      <w:r>
        <w:t xml:space="preserve">On retrouve une étape de pliage par page. </w:t>
      </w:r>
    </w:p>
    <w:p w:rsidR="000D1D7B" w:rsidRPr="00142652" w:rsidRDefault="000D1D7B" w:rsidP="00142652">
      <w:r>
        <w:t>Chaque étape est manipulable. La personne doit observer, manipuler, pour comprendre par elle-même le mécanisme de pliage. Elle développe sa propre stratégie de pliage.</w:t>
      </w:r>
    </w:p>
    <w:p w:rsidR="00142652" w:rsidRPr="00142652" w:rsidRDefault="000D1D7B" w:rsidP="00142652">
      <w:r>
        <w:t>2 - ‘</w:t>
      </w:r>
      <w:r w:rsidR="00142652" w:rsidRPr="00142652">
        <w:t>se rappeler</w:t>
      </w:r>
      <w:r>
        <w:t>’ et faire travailler sa mémoire à court, moyen et long terme</w:t>
      </w:r>
    </w:p>
    <w:p w:rsidR="00142652" w:rsidRPr="00142652" w:rsidRDefault="000D1D7B" w:rsidP="00142652">
      <w:r>
        <w:t>3 - ‘</w:t>
      </w:r>
      <w:r w:rsidR="00142652" w:rsidRPr="00142652">
        <w:t>comprendre</w:t>
      </w:r>
      <w:r>
        <w:t>’ et intégrer la réalisation complète et autonome d’une tâche (ici l’origami)</w:t>
      </w:r>
    </w:p>
    <w:p w:rsidR="00142652" w:rsidRPr="00142652" w:rsidRDefault="000D1D7B" w:rsidP="00142652">
      <w:r>
        <w:t>4 - ‘</w:t>
      </w:r>
      <w:r w:rsidR="00142652" w:rsidRPr="00142652">
        <w:t>utiliser</w:t>
      </w:r>
      <w:r>
        <w:t>’ pour apprendre</w:t>
      </w:r>
    </w:p>
    <w:p w:rsidR="00142652" w:rsidRPr="00142652" w:rsidRDefault="00142652" w:rsidP="00142652">
      <w:pPr>
        <w:pStyle w:val="Titre2"/>
      </w:pPr>
      <w:r w:rsidRPr="00142652">
        <w:t>OSA contient :</w:t>
      </w:r>
    </w:p>
    <w:p w:rsidR="00142652" w:rsidRPr="00142652" w:rsidRDefault="00142652" w:rsidP="00142652">
      <w:pPr>
        <w:pStyle w:val="Paragraphedeliste"/>
        <w:numPr>
          <w:ilvl w:val="0"/>
          <w:numId w:val="1"/>
        </w:numPr>
      </w:pPr>
      <w:r w:rsidRPr="00142652">
        <w:t xml:space="preserve">2 manuels </w:t>
      </w:r>
      <w:r w:rsidR="0090773E">
        <w:t>‘</w:t>
      </w:r>
      <w:r w:rsidRPr="00142652">
        <w:t>couronne</w:t>
      </w:r>
      <w:r w:rsidR="0090773E">
        <w:t>’</w:t>
      </w:r>
      <w:r w:rsidRPr="00142652">
        <w:t xml:space="preserve">, </w:t>
      </w:r>
    </w:p>
    <w:p w:rsidR="00142652" w:rsidRPr="00142652" w:rsidRDefault="00142652" w:rsidP="00142652">
      <w:pPr>
        <w:pStyle w:val="Paragraphedeliste"/>
        <w:numPr>
          <w:ilvl w:val="0"/>
          <w:numId w:val="1"/>
        </w:numPr>
      </w:pPr>
      <w:r w:rsidRPr="00142652">
        <w:t xml:space="preserve">2 manuels </w:t>
      </w:r>
      <w:r w:rsidR="000D1D7B">
        <w:t>‘</w:t>
      </w:r>
      <w:r w:rsidRPr="00142652">
        <w:t>bateau</w:t>
      </w:r>
      <w:r w:rsidR="000D1D7B">
        <w:t>’</w:t>
      </w:r>
      <w:r w:rsidRPr="00142652">
        <w:t xml:space="preserve">, </w:t>
      </w:r>
    </w:p>
    <w:p w:rsidR="00142652" w:rsidRPr="00142652" w:rsidRDefault="00142652" w:rsidP="00142652">
      <w:pPr>
        <w:pStyle w:val="Paragraphedeliste"/>
        <w:numPr>
          <w:ilvl w:val="0"/>
          <w:numId w:val="1"/>
        </w:numPr>
      </w:pPr>
      <w:r w:rsidRPr="00142652">
        <w:t xml:space="preserve">1 affiche </w:t>
      </w:r>
      <w:r w:rsidR="000D1D7B">
        <w:t>‘</w:t>
      </w:r>
      <w:r w:rsidRPr="00142652">
        <w:t>poisson</w:t>
      </w:r>
      <w:r w:rsidR="000D1D7B">
        <w:t>’</w:t>
      </w:r>
      <w:r w:rsidRPr="00142652">
        <w:t xml:space="preserve"> (niveau 1), </w:t>
      </w:r>
    </w:p>
    <w:p w:rsidR="00142652" w:rsidRPr="00142652" w:rsidRDefault="00142652" w:rsidP="00142652">
      <w:pPr>
        <w:pStyle w:val="Paragraphedeliste"/>
        <w:numPr>
          <w:ilvl w:val="0"/>
          <w:numId w:val="1"/>
        </w:numPr>
      </w:pPr>
      <w:r w:rsidRPr="00142652">
        <w:t xml:space="preserve">1 affiche </w:t>
      </w:r>
      <w:r w:rsidR="000D1D7B">
        <w:t>‘</w:t>
      </w:r>
      <w:r w:rsidRPr="00142652">
        <w:t>poisson</w:t>
      </w:r>
      <w:r w:rsidR="000D1D7B">
        <w:t>’</w:t>
      </w:r>
      <w:r w:rsidRPr="00142652">
        <w:t xml:space="preserve"> (niveau 2), </w:t>
      </w:r>
    </w:p>
    <w:p w:rsidR="00142652" w:rsidRPr="00142652" w:rsidRDefault="00142652" w:rsidP="00142652">
      <w:pPr>
        <w:pStyle w:val="Paragraphedeliste"/>
        <w:numPr>
          <w:ilvl w:val="0"/>
          <w:numId w:val="1"/>
        </w:numPr>
      </w:pPr>
      <w:r w:rsidRPr="00142652">
        <w:t>1 carnet pédagogique complet (des fiches activités selon vos objectifs, les savoirs, savoir-faire, savoir-être ; des fiches outils faciles à photocopier et à ajuster en fonction des compétences des élèves ; 4 séances types),</w:t>
      </w:r>
    </w:p>
    <w:p w:rsidR="00142652" w:rsidRPr="00142652" w:rsidRDefault="00142652" w:rsidP="000D1D7B">
      <w:pPr>
        <w:pStyle w:val="Paragraphedeliste"/>
        <w:numPr>
          <w:ilvl w:val="0"/>
          <w:numId w:val="1"/>
        </w:numPr>
      </w:pPr>
      <w:r w:rsidRPr="00142652">
        <w:t>des graphismes conçus pour être imprimés en thermogonflé pour les personnes aveugles,</w:t>
      </w:r>
    </w:p>
    <w:p w:rsidR="00142652" w:rsidRPr="00142652" w:rsidRDefault="00142652" w:rsidP="00142652">
      <w:pPr>
        <w:pStyle w:val="Paragraphedeliste"/>
        <w:numPr>
          <w:ilvl w:val="0"/>
          <w:numId w:val="2"/>
        </w:numPr>
      </w:pPr>
      <w:r w:rsidRPr="00142652">
        <w:t>2 vidéos tutorielles d’une histoire de personnages en papier qui se plient et se déplient et un tutoriel pour apprendre les pliages.</w:t>
      </w:r>
    </w:p>
    <w:p w:rsidR="00142652" w:rsidRPr="00142652" w:rsidRDefault="00142652" w:rsidP="00142652">
      <w:pPr>
        <w:pStyle w:val="Paragraphedeliste"/>
        <w:numPr>
          <w:ilvl w:val="0"/>
          <w:numId w:val="2"/>
        </w:numPr>
      </w:pPr>
      <w:r w:rsidRPr="00142652">
        <w:lastRenderedPageBreak/>
        <w:t>1 stock de papier identiques à ceux utilisés dans les manuels, plaçant l’apprenant dans des conditions identiques aux manuels.</w:t>
      </w:r>
    </w:p>
    <w:p w:rsidR="00142652" w:rsidRPr="00142652" w:rsidRDefault="00142652" w:rsidP="00142652"/>
    <w:p w:rsidR="00142652" w:rsidRPr="00142652" w:rsidRDefault="00142652" w:rsidP="00142652">
      <w:r w:rsidRPr="00142652">
        <w:t>Pensé pour des groupes de 4 à 25 élèves, de niveau équivalent ou non.</w:t>
      </w:r>
    </w:p>
    <w:p w:rsidR="00142652" w:rsidRPr="00142652" w:rsidRDefault="00142652" w:rsidP="00142652">
      <w:pPr>
        <w:pStyle w:val="Titre2"/>
      </w:pPr>
      <w:r w:rsidRPr="00142652">
        <w:t xml:space="preserve">OSA c’est aussi : </w:t>
      </w:r>
    </w:p>
    <w:p w:rsidR="00142652" w:rsidRPr="00142652" w:rsidRDefault="00142652" w:rsidP="00142652">
      <w:r w:rsidRPr="00142652">
        <w:t>• 4 ans de travail</w:t>
      </w:r>
    </w:p>
    <w:p w:rsidR="00142652" w:rsidRPr="00142652" w:rsidRDefault="00142652" w:rsidP="00142652">
      <w:r w:rsidRPr="00142652">
        <w:t>• + de 200 testeurs avec ou sans déficiences sensorielles et cognitives.</w:t>
      </w:r>
    </w:p>
    <w:p w:rsidR="00142652" w:rsidRPr="00142652" w:rsidRDefault="00142652" w:rsidP="00142652">
      <w:r w:rsidRPr="00142652">
        <w:t xml:space="preserve">• une évaluation en immersion dans les classes spécialisées, en collège </w:t>
      </w:r>
    </w:p>
    <w:p w:rsidR="00142652" w:rsidRPr="00142652" w:rsidRDefault="00142652" w:rsidP="00142652">
      <w:r w:rsidRPr="00142652">
        <w:t>et de nombreuses collaborations.</w:t>
      </w:r>
    </w:p>
    <w:p w:rsidR="00142652" w:rsidRPr="00142652" w:rsidRDefault="00142652" w:rsidP="00142652">
      <w:r w:rsidRPr="00142652">
        <w:t>• une fabrication et édition 100% bretonne</w:t>
      </w:r>
    </w:p>
    <w:p w:rsidR="00142652" w:rsidRPr="00142652" w:rsidRDefault="00142652" w:rsidP="00142652">
      <w:r w:rsidRPr="00142652">
        <w:t>• PRIX PUBLIC : 139 euros (hors frais d’envoi)</w:t>
      </w:r>
    </w:p>
    <w:p w:rsidR="00142652" w:rsidRDefault="00142652" w:rsidP="00142652"/>
    <w:p w:rsidR="00142652" w:rsidRPr="00142652" w:rsidRDefault="00142652" w:rsidP="00142652"/>
    <w:p w:rsidR="00142652" w:rsidRPr="00142652" w:rsidRDefault="00142652" w:rsidP="0087474B">
      <w:pPr>
        <w:rPr>
          <w:color w:val="000000" w:themeColor="text1"/>
        </w:rPr>
      </w:pPr>
      <w:r>
        <w:rPr>
          <w:color w:val="000000" w:themeColor="text1"/>
        </w:rPr>
        <w:t>R</w:t>
      </w:r>
      <w:r w:rsidRPr="00142652">
        <w:rPr>
          <w:color w:val="000000" w:themeColor="text1"/>
        </w:rPr>
        <w:t xml:space="preserve">etrouvez toutes les informations sur </w:t>
      </w:r>
      <w:hyperlink r:id="rId5" w:history="1">
        <w:r w:rsidRPr="00142652">
          <w:rPr>
            <w:rStyle w:val="Lienhypertexte"/>
            <w:rFonts w:ascii="Tahoma" w:hAnsi="Tahoma" w:cs="Tahoma"/>
            <w:szCs w:val="32"/>
          </w:rPr>
          <w:t>www.ideographik.org</w:t>
        </w:r>
      </w:hyperlink>
    </w:p>
    <w:p w:rsidR="00142652" w:rsidRPr="00142652" w:rsidRDefault="00142652" w:rsidP="0087474B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142652">
        <w:rPr>
          <w:color w:val="000000" w:themeColor="text1"/>
        </w:rPr>
        <w:t xml:space="preserve">outenez le projet d’edition sur </w:t>
      </w:r>
      <w:hyperlink r:id="rId6" w:history="1">
        <w:r w:rsidRPr="00142652">
          <w:rPr>
            <w:rStyle w:val="Lienhypertexte"/>
            <w:rFonts w:ascii="Tahoma" w:hAnsi="Tahoma" w:cs="Tahoma"/>
            <w:szCs w:val="32"/>
          </w:rPr>
          <w:t>kengo/apprendre avec l’origami</w:t>
        </w:r>
      </w:hyperlink>
    </w:p>
    <w:p w:rsidR="00142652" w:rsidRPr="00142652" w:rsidRDefault="00142652" w:rsidP="00142652">
      <w:pPr>
        <w:pStyle w:val="Paragraphestandard"/>
        <w:spacing w:before="113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142652" w:rsidP="00142652">
      <w:pPr>
        <w:pStyle w:val="Titre2"/>
      </w:pPr>
      <w:r w:rsidRPr="00142652">
        <w:t>IDÉOGRAPHIK BRETAGNE c’est :</w:t>
      </w:r>
    </w:p>
    <w:p w:rsidR="00142652" w:rsidRPr="00142652" w:rsidRDefault="00142652" w:rsidP="00142652">
      <w:r w:rsidRPr="00142652">
        <w:t>• une association et maison d’édition.</w:t>
      </w:r>
    </w:p>
    <w:p w:rsidR="00142652" w:rsidRPr="00142652" w:rsidRDefault="00142652" w:rsidP="00142652">
      <w:r w:rsidRPr="00142652">
        <w:t>• l’accès à l’information et le savoir par tous.</w:t>
      </w:r>
    </w:p>
    <w:p w:rsidR="00142652" w:rsidRPr="00142652" w:rsidRDefault="00142652" w:rsidP="00142652">
      <w:r w:rsidRPr="00142652">
        <w:t xml:space="preserve">• 2 salariées, une graphiste.conceptrice et une animatrice.éditrice, </w:t>
      </w:r>
      <w:r w:rsidRPr="00142652">
        <w:br/>
        <w:t>de super bénévoles et des partenaires précieux.</w:t>
      </w:r>
    </w:p>
    <w:p w:rsidR="00142652" w:rsidRPr="00142652" w:rsidRDefault="00142652" w:rsidP="00142652">
      <w:r w:rsidRPr="00142652">
        <w:lastRenderedPageBreak/>
        <w:t xml:space="preserve">• la volonté de participer à la construction d’une société où le vivre ensemble et l’autonomie de chacun ne serait plus à défendre. </w:t>
      </w:r>
    </w:p>
    <w:p w:rsidR="00142652" w:rsidRPr="00142652" w:rsidRDefault="00142652" w:rsidP="00142652">
      <w:r w:rsidRPr="00142652">
        <w:t>• une localisation sur la zone rurale et dynamique du Trégor !</w:t>
      </w:r>
    </w:p>
    <w:p w:rsidR="00142652" w:rsidRDefault="00142652" w:rsidP="00142652">
      <w:r w:rsidRPr="00142652">
        <w:t>Idéographik Bretagne</w:t>
      </w:r>
    </w:p>
    <w:p w:rsidR="00142652" w:rsidRDefault="00142652" w:rsidP="00142652">
      <w:r w:rsidRPr="00142652">
        <w:t>5 rue de l’Argoat</w:t>
      </w:r>
    </w:p>
    <w:p w:rsidR="0090773E" w:rsidRDefault="00142652" w:rsidP="00142652">
      <w:r w:rsidRPr="00142652">
        <w:t xml:space="preserve">22310 Trémel </w:t>
      </w:r>
    </w:p>
    <w:p w:rsidR="00142652" w:rsidRDefault="00142652" w:rsidP="00142652">
      <w:r w:rsidRPr="00142652">
        <w:t xml:space="preserve">tél. 02 96 47 22 05 </w:t>
      </w:r>
    </w:p>
    <w:p w:rsidR="00142652" w:rsidRPr="00142652" w:rsidRDefault="00142652" w:rsidP="00142652">
      <w:r w:rsidRPr="00142652">
        <w:t>N° SIRET 834 985 400 000 11</w:t>
      </w:r>
    </w:p>
    <w:p w:rsidR="00142652" w:rsidRPr="00142652" w:rsidRDefault="00142652" w:rsidP="00142652"/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142652" w:rsidRPr="00142652" w:rsidRDefault="00142652" w:rsidP="00142652">
      <w:pPr>
        <w:pStyle w:val="Paragraphestandard"/>
        <w:rPr>
          <w:rFonts w:ascii="Tahoma" w:hAnsi="Tahoma" w:cs="Tahoma"/>
          <w:color w:val="000000" w:themeColor="text1"/>
          <w:szCs w:val="32"/>
        </w:rPr>
      </w:pPr>
    </w:p>
    <w:p w:rsidR="00E42B36" w:rsidRDefault="001D61EC">
      <w:pPr>
        <w:rPr>
          <w:rFonts w:cs="Tahoma"/>
          <w:color w:val="000000" w:themeColor="text1"/>
          <w:szCs w:val="32"/>
        </w:rPr>
      </w:pPr>
      <w:r>
        <w:rPr>
          <w:rFonts w:cs="Tahoma"/>
          <w:color w:val="000000" w:themeColor="text1"/>
          <w:szCs w:val="32"/>
        </w:rPr>
        <w:t>Police de caractère</w:t>
      </w:r>
      <w:r>
        <w:rPr>
          <w:rFonts w:ascii="Calibri" w:hAnsi="Calibri" w:cs="Calibri"/>
          <w:color w:val="000000" w:themeColor="text1"/>
          <w:szCs w:val="32"/>
        </w:rPr>
        <w:t> </w:t>
      </w:r>
      <w:r>
        <w:rPr>
          <w:rFonts w:cs="Tahoma"/>
          <w:color w:val="000000" w:themeColor="text1"/>
          <w:szCs w:val="32"/>
        </w:rPr>
        <w:t>: luciole</w:t>
      </w:r>
    </w:p>
    <w:p w:rsidR="001D61EC" w:rsidRPr="001D61EC" w:rsidRDefault="001D61EC" w:rsidP="001D6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</w:p>
    <w:p w:rsidR="001D61EC" w:rsidRPr="001D61EC" w:rsidRDefault="001D61EC" w:rsidP="001D6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  <w:r w:rsidRPr="001D61EC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>Ces fontes sont distribuÃ©es gratuitement sous Licence publique Creative Commons Attribution 4.0 International :</w:t>
      </w:r>
    </w:p>
    <w:p w:rsidR="001D61EC" w:rsidRPr="001D61EC" w:rsidRDefault="001D61EC" w:rsidP="001D6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  <w:r w:rsidRPr="001D61EC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>https://creativecommons.org/licenses/by/4.0/legalcode.fr</w:t>
      </w:r>
    </w:p>
    <w:p w:rsidR="00DF4F8F" w:rsidRPr="006E0311" w:rsidRDefault="00DF4F8F" w:rsidP="00DF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</w:pPr>
      <w:r w:rsidRPr="006E0311">
        <w:rPr>
          <w:rFonts w:ascii="Courier New" w:eastAsia="Times New Roman" w:hAnsi="Courier New" w:cs="Courier New"/>
          <w:color w:val="auto"/>
          <w:sz w:val="20"/>
          <w:szCs w:val="20"/>
          <w:lang w:eastAsia="fr-FR"/>
        </w:rPr>
        <w:t>Luciole Â© Laurent Bourcellier &amp; Jonathan Perez</w:t>
      </w:r>
    </w:p>
    <w:p w:rsidR="001D61EC" w:rsidRPr="00142652" w:rsidRDefault="001D61EC">
      <w:pPr>
        <w:rPr>
          <w:rFonts w:cs="Tahoma"/>
          <w:color w:val="000000" w:themeColor="text1"/>
          <w:szCs w:val="32"/>
        </w:rPr>
      </w:pPr>
      <w:bookmarkStart w:id="0" w:name="_GoBack"/>
      <w:bookmarkEnd w:id="0"/>
    </w:p>
    <w:sectPr w:rsidR="001D61EC" w:rsidRPr="00142652" w:rsidSect="000D2C1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2286"/>
    <w:multiLevelType w:val="hybridMultilevel"/>
    <w:tmpl w:val="F0906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EE00">
      <w:start w:val="2"/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43F"/>
    <w:multiLevelType w:val="hybridMultilevel"/>
    <w:tmpl w:val="624A2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52"/>
    <w:rsid w:val="000D1D7B"/>
    <w:rsid w:val="00142652"/>
    <w:rsid w:val="001D61EC"/>
    <w:rsid w:val="00847404"/>
    <w:rsid w:val="0087474B"/>
    <w:rsid w:val="0090773E"/>
    <w:rsid w:val="00917521"/>
    <w:rsid w:val="00B60C01"/>
    <w:rsid w:val="00DF4F8F"/>
    <w:rsid w:val="00E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C0332B-8772-3044-8784-CB4652F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4B"/>
    <w:pPr>
      <w:spacing w:line="360" w:lineRule="auto"/>
    </w:pPr>
    <w:rPr>
      <w:rFonts w:ascii="Luciole" w:hAnsi="Luciole"/>
      <w:color w:val="0D0D0D" w:themeColor="text1" w:themeTint="F2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652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4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4265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14265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87474B"/>
    <w:pPr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474B"/>
    <w:rPr>
      <w:rFonts w:ascii="Luciole" w:eastAsiaTheme="majorEastAsia" w:hAnsi="Luciole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42652"/>
    <w:rPr>
      <w:rFonts w:ascii="Tahoma" w:eastAsiaTheme="majorEastAsia" w:hAnsi="Tahoma" w:cstheme="majorBidi"/>
      <w:b/>
      <w:color w:val="2F5496" w:themeColor="accent1" w:themeShade="BF"/>
      <w:sz w:val="44"/>
      <w:szCs w:val="26"/>
    </w:rPr>
  </w:style>
  <w:style w:type="paragraph" w:styleId="Paragraphedeliste">
    <w:name w:val="List Paragraph"/>
    <w:basedOn w:val="Normal"/>
    <w:uiPriority w:val="34"/>
    <w:qFormat/>
    <w:rsid w:val="001426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26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652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61E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ngo.bzh/projet/1545/apprendre-avec-lorigami" TargetMode="External"/><Relationship Id="rId5" Type="http://schemas.openxmlformats.org/officeDocument/2006/relationships/hyperlink" Target="http://www.ideographi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2019-05-27T07:01:00Z</dcterms:created>
  <dcterms:modified xsi:type="dcterms:W3CDTF">2019-05-28T07:27:00Z</dcterms:modified>
</cp:coreProperties>
</file>